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6C6" w:rsidRDefault="00E01FC5" w:rsidP="00E01FC5">
      <w:pPr>
        <w:jc w:val="center"/>
        <w:rPr>
          <w:b/>
          <w:u w:val="single"/>
        </w:rPr>
      </w:pPr>
      <w:r w:rsidRPr="007F2226">
        <w:rPr>
          <w:b/>
          <w:u w:val="single"/>
        </w:rPr>
        <w:t>Presumptive Taxation Provisions applicable to Non Residents</w:t>
      </w:r>
    </w:p>
    <w:p w:rsidR="007F2226" w:rsidRPr="00661B1C" w:rsidRDefault="007F2226" w:rsidP="007F2226">
      <w:pPr>
        <w:jc w:val="right"/>
        <w:rPr>
          <w:rFonts w:cstheme="minorHAnsi"/>
        </w:rPr>
      </w:pPr>
      <w:r w:rsidRPr="00661B1C">
        <w:rPr>
          <w:rFonts w:cstheme="minorHAnsi"/>
        </w:rPr>
        <w:t>C.A. Paresh  Shah</w:t>
      </w:r>
      <w:r w:rsidR="00695654">
        <w:rPr>
          <w:rFonts w:cstheme="minorHAnsi"/>
        </w:rPr>
        <w:t xml:space="preserve"> and </w:t>
      </w:r>
      <w:bookmarkStart w:id="0" w:name="_GoBack"/>
      <w:bookmarkEnd w:id="0"/>
      <w:r w:rsidRPr="00661B1C">
        <w:rPr>
          <w:rFonts w:cstheme="minorHAnsi"/>
        </w:rPr>
        <w:t xml:space="preserve">C.A. </w:t>
      </w:r>
      <w:proofErr w:type="spellStart"/>
      <w:r w:rsidRPr="00661B1C">
        <w:rPr>
          <w:rFonts w:cstheme="minorHAnsi"/>
        </w:rPr>
        <w:t>Mitali</w:t>
      </w:r>
      <w:proofErr w:type="spellEnd"/>
      <w:r w:rsidRPr="00661B1C">
        <w:rPr>
          <w:rFonts w:cstheme="minorHAnsi"/>
        </w:rPr>
        <w:t xml:space="preserve"> Gandhi</w:t>
      </w:r>
    </w:p>
    <w:p w:rsidR="007F2226" w:rsidRPr="007F2226" w:rsidRDefault="007F2226" w:rsidP="00E01FC5">
      <w:pPr>
        <w:jc w:val="center"/>
        <w:rPr>
          <w:b/>
          <w:u w:val="single"/>
        </w:rPr>
      </w:pPr>
    </w:p>
    <w:p w:rsidR="00E01FC5" w:rsidRDefault="00E01FC5" w:rsidP="00E01FC5">
      <w:pPr>
        <w:jc w:val="center"/>
      </w:pPr>
    </w:p>
    <w:p w:rsidR="00E01FC5" w:rsidRPr="007F2226" w:rsidRDefault="00E01FC5" w:rsidP="00E01FC5">
      <w:pPr>
        <w:pStyle w:val="ListParagraph"/>
        <w:numPr>
          <w:ilvl w:val="0"/>
          <w:numId w:val="1"/>
        </w:numPr>
        <w:rPr>
          <w:b/>
          <w:u w:val="single"/>
        </w:rPr>
      </w:pPr>
      <w:r w:rsidRPr="007F2226">
        <w:rPr>
          <w:b/>
          <w:u w:val="single"/>
        </w:rPr>
        <w:t>Introduction</w:t>
      </w:r>
    </w:p>
    <w:p w:rsidR="00817068" w:rsidRDefault="00817068" w:rsidP="00817068">
      <w:pPr>
        <w:pStyle w:val="ListParagraph"/>
      </w:pPr>
      <w:r>
        <w:t xml:space="preserve">This is the seventh article in the series of </w:t>
      </w:r>
      <w:r w:rsidR="009C790C">
        <w:t xml:space="preserve">taxation of non-residents. In the previous article we have already discussed two provisions pertaining to presumptive Taxation schemes applicable to non-residents. In the current article we will cover the balance provisions dealing with Presumptive Taxation. </w:t>
      </w:r>
    </w:p>
    <w:p w:rsidR="009C790C" w:rsidRDefault="009C790C" w:rsidP="00817068">
      <w:pPr>
        <w:pStyle w:val="ListParagraph"/>
      </w:pPr>
    </w:p>
    <w:p w:rsidR="009C790C" w:rsidRDefault="009C790C" w:rsidP="009C790C">
      <w:pPr>
        <w:pStyle w:val="ListParagraph"/>
      </w:pPr>
      <w:r>
        <w:t>As highlighted in the previous articles, we know that a non-resident is liable to tax in India on that income which is chargeable to tax in India. Income of a Non Resident is chargeable to tax in India if–</w:t>
      </w:r>
    </w:p>
    <w:p w:rsidR="009C790C" w:rsidRDefault="009C790C" w:rsidP="009C790C">
      <w:pPr>
        <w:pStyle w:val="ListParagraph"/>
      </w:pPr>
    </w:p>
    <w:p w:rsidR="009C790C" w:rsidRDefault="009C790C" w:rsidP="009C790C">
      <w:pPr>
        <w:pStyle w:val="ListParagraph"/>
      </w:pPr>
      <w:r>
        <w:t>i.</w:t>
      </w:r>
      <w:r>
        <w:tab/>
        <w:t xml:space="preserve">It is received in India; or deemed to have been received in India </w:t>
      </w:r>
    </w:p>
    <w:p w:rsidR="009C790C" w:rsidRDefault="009C790C" w:rsidP="009C790C">
      <w:pPr>
        <w:pStyle w:val="ListParagraph"/>
      </w:pPr>
      <w:r>
        <w:t>ii.</w:t>
      </w:r>
      <w:r>
        <w:tab/>
        <w:t>It accrues or arises in India or is deemed to accrue or arise in India</w:t>
      </w:r>
    </w:p>
    <w:p w:rsidR="00E01FC5" w:rsidRDefault="00E01FC5" w:rsidP="00E01FC5">
      <w:pPr>
        <w:pStyle w:val="ListParagraph"/>
      </w:pPr>
    </w:p>
    <w:p w:rsidR="00B17106" w:rsidRDefault="00B17106" w:rsidP="00E01FC5">
      <w:pPr>
        <w:pStyle w:val="ListParagraph"/>
      </w:pPr>
      <w:r w:rsidRPr="00B17106">
        <w:t>In certain cases, it is difficult for the non-resident to maintain India specific books of accou</w:t>
      </w:r>
      <w:r>
        <w:t xml:space="preserve">nts, which could be due to the </w:t>
      </w:r>
      <w:r w:rsidRPr="00B17106">
        <w:t>nature of the business or other factors. Preparing a statement of taxable income , for complying with the tax laws of India, would require preparation of India specific accounts, and application of various provisions in the income tax act to each such transaction. In order to ease the burden of the non-resident, and provide a simple mechanism to compute the tax liability, the Indian tax laws  has certain provisions for non-residents,  who are engaged in specific business covered under those regulations, to offer their taxable income as a percentage of the receipts. In such cases, the deduction of Expenditure is generally not allowed.</w:t>
      </w:r>
    </w:p>
    <w:p w:rsidR="009C790C" w:rsidRDefault="009C790C" w:rsidP="00E01FC5">
      <w:pPr>
        <w:pStyle w:val="ListParagraph"/>
      </w:pPr>
    </w:p>
    <w:p w:rsidR="00E01FC5" w:rsidRPr="007F2226" w:rsidRDefault="00E01FC5" w:rsidP="00E01FC5">
      <w:pPr>
        <w:pStyle w:val="ListParagraph"/>
        <w:numPr>
          <w:ilvl w:val="0"/>
          <w:numId w:val="1"/>
        </w:numPr>
        <w:rPr>
          <w:b/>
          <w:u w:val="single"/>
        </w:rPr>
      </w:pPr>
      <w:r w:rsidRPr="007F2226">
        <w:rPr>
          <w:b/>
          <w:u w:val="single"/>
        </w:rPr>
        <w:t>Presumptive Taxation  - Explained</w:t>
      </w:r>
    </w:p>
    <w:p w:rsidR="00E01FC5" w:rsidRDefault="00E01FC5" w:rsidP="00E01FC5">
      <w:pPr>
        <w:pStyle w:val="ListParagraph"/>
      </w:pPr>
    </w:p>
    <w:p w:rsidR="00E01FC5" w:rsidRDefault="00050B05" w:rsidP="00E01FC5">
      <w:pPr>
        <w:pStyle w:val="ListParagraph"/>
      </w:pPr>
      <w:r w:rsidRPr="00050B05">
        <w:t>​​​​​​As per sections 44AA of the Income-tax Act, 1961, a person engaged in business or profession is required to maintain regular books of account under certain circumstances</w:t>
      </w:r>
      <w:r>
        <w:t xml:space="preserve">. </w:t>
      </w:r>
      <w:r w:rsidR="005D71E7" w:rsidRPr="005D71E7">
        <w:t>Income Tax department has formulated the pres</w:t>
      </w:r>
      <w:r w:rsidR="005D71E7">
        <w:t>umptive tax scheme to help</w:t>
      </w:r>
      <w:r w:rsidR="005D71E7" w:rsidRPr="005D71E7">
        <w:t xml:space="preserve"> small traders, businessmen and service providers to pay tax </w:t>
      </w:r>
      <w:r w:rsidR="00707068">
        <w:t>on an estimated income</w:t>
      </w:r>
      <w:r w:rsidR="005D71E7" w:rsidRPr="005D71E7">
        <w:t>.</w:t>
      </w:r>
      <w:r>
        <w:t xml:space="preserve"> </w:t>
      </w:r>
      <w:r w:rsidRPr="00050B05">
        <w:t>A person adopting the presumptive taxation scheme can declare income at a prescribed rate and, in turn, is relieved from tedious job of maintenance of books of account.</w:t>
      </w:r>
    </w:p>
    <w:p w:rsidR="00050B05" w:rsidRDefault="00050B05" w:rsidP="00E01FC5">
      <w:pPr>
        <w:pStyle w:val="ListParagraph"/>
      </w:pPr>
    </w:p>
    <w:p w:rsidR="0083066B" w:rsidRPr="007F2226" w:rsidRDefault="0083066B" w:rsidP="00E01FC5">
      <w:pPr>
        <w:pStyle w:val="ListParagraph"/>
        <w:numPr>
          <w:ilvl w:val="0"/>
          <w:numId w:val="1"/>
        </w:numPr>
        <w:rPr>
          <w:b/>
          <w:u w:val="single"/>
        </w:rPr>
      </w:pPr>
      <w:r w:rsidRPr="007F2226">
        <w:rPr>
          <w:b/>
          <w:u w:val="single"/>
        </w:rPr>
        <w:t>Presumptive Taxation Schemes for non-residents</w:t>
      </w:r>
    </w:p>
    <w:tbl>
      <w:tblPr>
        <w:tblStyle w:val="TableGrid"/>
        <w:tblW w:w="6925" w:type="dxa"/>
        <w:tblInd w:w="720" w:type="dxa"/>
        <w:tblLook w:val="04A0" w:firstRow="1" w:lastRow="0" w:firstColumn="1" w:lastColumn="0" w:noHBand="0" w:noVBand="1"/>
      </w:tblPr>
      <w:tblGrid>
        <w:gridCol w:w="1075"/>
        <w:gridCol w:w="5850"/>
      </w:tblGrid>
      <w:tr w:rsidR="00AE46E9" w:rsidTr="00AE46E9">
        <w:tc>
          <w:tcPr>
            <w:tcW w:w="1075" w:type="dxa"/>
            <w:shd w:val="clear" w:color="auto" w:fill="000000" w:themeFill="text1"/>
          </w:tcPr>
          <w:p w:rsidR="00AE46E9" w:rsidRPr="00AE46E9" w:rsidRDefault="00AE46E9" w:rsidP="00AE46E9">
            <w:pPr>
              <w:pStyle w:val="ListParagraph"/>
              <w:ind w:left="0"/>
              <w:jc w:val="center"/>
              <w:rPr>
                <w:b/>
              </w:rPr>
            </w:pPr>
            <w:r w:rsidRPr="00AE46E9">
              <w:rPr>
                <w:b/>
              </w:rPr>
              <w:t>Section</w:t>
            </w:r>
          </w:p>
        </w:tc>
        <w:tc>
          <w:tcPr>
            <w:tcW w:w="5850" w:type="dxa"/>
            <w:shd w:val="clear" w:color="auto" w:fill="000000" w:themeFill="text1"/>
          </w:tcPr>
          <w:p w:rsidR="00AE46E9" w:rsidRPr="00AE46E9" w:rsidRDefault="00AE46E9" w:rsidP="00AE46E9">
            <w:pPr>
              <w:pStyle w:val="ListParagraph"/>
              <w:ind w:left="0"/>
              <w:jc w:val="center"/>
              <w:rPr>
                <w:b/>
              </w:rPr>
            </w:pPr>
            <w:r w:rsidRPr="00AE46E9">
              <w:rPr>
                <w:b/>
              </w:rPr>
              <w:t>Particulars</w:t>
            </w:r>
          </w:p>
        </w:tc>
      </w:tr>
      <w:tr w:rsidR="00AE46E9" w:rsidTr="00AE46E9">
        <w:tc>
          <w:tcPr>
            <w:tcW w:w="1075" w:type="dxa"/>
          </w:tcPr>
          <w:p w:rsidR="00AE46E9" w:rsidRDefault="00AE46E9" w:rsidP="00D216CA">
            <w:pPr>
              <w:jc w:val="both"/>
            </w:pPr>
            <w:r>
              <w:t>44B read with</w:t>
            </w:r>
          </w:p>
          <w:p w:rsidR="00AE46E9" w:rsidRDefault="00AE46E9" w:rsidP="00D216CA">
            <w:pPr>
              <w:pStyle w:val="ListParagraph"/>
              <w:ind w:left="0"/>
            </w:pPr>
            <w:r>
              <w:t>172</w:t>
            </w:r>
          </w:p>
        </w:tc>
        <w:tc>
          <w:tcPr>
            <w:tcW w:w="5850" w:type="dxa"/>
          </w:tcPr>
          <w:p w:rsidR="00AE46E9" w:rsidRDefault="00AE46E9" w:rsidP="00AE46E9">
            <w:pPr>
              <w:pStyle w:val="ListParagraph"/>
              <w:ind w:left="0"/>
            </w:pPr>
            <w:r>
              <w:t>Income from shipping business shall be computed on presumptive basis (Subject to certain conditions).</w:t>
            </w:r>
          </w:p>
        </w:tc>
      </w:tr>
      <w:tr w:rsidR="00AE46E9" w:rsidTr="00AE46E9">
        <w:tc>
          <w:tcPr>
            <w:tcW w:w="1075" w:type="dxa"/>
          </w:tcPr>
          <w:p w:rsidR="00AE46E9" w:rsidRDefault="00AE46E9" w:rsidP="0083066B">
            <w:pPr>
              <w:pStyle w:val="ListParagraph"/>
              <w:ind w:left="0"/>
            </w:pPr>
            <w:r w:rsidRPr="00D216CA">
              <w:lastRenderedPageBreak/>
              <w:t>44BB</w:t>
            </w:r>
          </w:p>
        </w:tc>
        <w:tc>
          <w:tcPr>
            <w:tcW w:w="5850" w:type="dxa"/>
          </w:tcPr>
          <w:p w:rsidR="00AE46E9" w:rsidRDefault="00AE46E9" w:rsidP="00D216CA">
            <w:pPr>
              <w:pStyle w:val="ListParagraph"/>
              <w:ind w:left="0"/>
            </w:pPr>
            <w:r>
              <w:t>Income of a non-resident engaged in the business of providing services or facilities in connection with, or supplying plant and machinery on hire used, or to be used, in the prospecting for, or extraction or production of, mineral oils shall be computed on presumptive basis (Subject to certain conditions)</w:t>
            </w:r>
          </w:p>
        </w:tc>
      </w:tr>
      <w:tr w:rsidR="00AE46E9" w:rsidTr="00AE46E9">
        <w:tc>
          <w:tcPr>
            <w:tcW w:w="1075" w:type="dxa"/>
          </w:tcPr>
          <w:p w:rsidR="00AE46E9" w:rsidRDefault="00AE46E9" w:rsidP="0083066B">
            <w:pPr>
              <w:pStyle w:val="ListParagraph"/>
              <w:ind w:left="0"/>
            </w:pPr>
            <w:r>
              <w:t>44BBA</w:t>
            </w:r>
          </w:p>
        </w:tc>
        <w:tc>
          <w:tcPr>
            <w:tcW w:w="5850" w:type="dxa"/>
          </w:tcPr>
          <w:p w:rsidR="00AE46E9" w:rsidRDefault="00AE46E9" w:rsidP="00AE46E9">
            <w:pPr>
              <w:pStyle w:val="ListParagraph"/>
              <w:ind w:left="-18"/>
            </w:pPr>
            <w:r>
              <w:t>Income of a non-resident engaged in the business of operation of aircraft shall be computed on presumptive basis (Subject to certain conditions).</w:t>
            </w:r>
          </w:p>
        </w:tc>
      </w:tr>
      <w:tr w:rsidR="00AE46E9" w:rsidTr="00AE46E9">
        <w:tc>
          <w:tcPr>
            <w:tcW w:w="1075" w:type="dxa"/>
          </w:tcPr>
          <w:p w:rsidR="00AE46E9" w:rsidRDefault="00AE46E9" w:rsidP="0083066B">
            <w:pPr>
              <w:pStyle w:val="ListParagraph"/>
              <w:ind w:left="0"/>
            </w:pPr>
            <w:r w:rsidRPr="00AE46E9">
              <w:t>44BBB</w:t>
            </w:r>
          </w:p>
        </w:tc>
        <w:tc>
          <w:tcPr>
            <w:tcW w:w="5850" w:type="dxa"/>
          </w:tcPr>
          <w:p w:rsidR="00AE46E9" w:rsidRDefault="00AE46E9" w:rsidP="00AE46E9">
            <w:pPr>
              <w:pStyle w:val="ListParagraph"/>
              <w:ind w:left="0"/>
            </w:pPr>
            <w:r>
              <w:t>Income of a foreign company engaged in the business of civil construction power turnkey or the business of erection of plant or Machinery or testing or commissioning thereof, in connection with projects shall be computed on presumptive basis (Subject to certain conditions)</w:t>
            </w:r>
          </w:p>
        </w:tc>
      </w:tr>
    </w:tbl>
    <w:p w:rsidR="0083066B" w:rsidRDefault="0083066B" w:rsidP="0083066B">
      <w:pPr>
        <w:pStyle w:val="ListParagraph"/>
      </w:pPr>
    </w:p>
    <w:p w:rsidR="00AE46E9" w:rsidRDefault="00AE46E9" w:rsidP="0083066B">
      <w:pPr>
        <w:pStyle w:val="ListParagraph"/>
      </w:pPr>
      <w:r>
        <w:t>We have discussed the provisions pertaining to Income from Shipping Business (Sec 44B</w:t>
      </w:r>
      <w:r w:rsidR="00AE1DF3">
        <w:t>B</w:t>
      </w:r>
      <w:r>
        <w:t>) and Income from business of operation of aircraft (Sec 44BBA). In the current article we will discuss on the other 2 sections, i.e. Section 44BB and 44BBB</w:t>
      </w:r>
    </w:p>
    <w:p w:rsidR="00AE46E9" w:rsidRDefault="00AE46E9" w:rsidP="0083066B">
      <w:pPr>
        <w:pStyle w:val="ListParagraph"/>
      </w:pPr>
    </w:p>
    <w:p w:rsidR="00AE46E9" w:rsidRDefault="00AE46E9" w:rsidP="00AE46E9">
      <w:pPr>
        <w:pStyle w:val="ListParagraph"/>
        <w:numPr>
          <w:ilvl w:val="0"/>
          <w:numId w:val="2"/>
        </w:numPr>
        <w:ind w:left="720"/>
      </w:pPr>
      <w:r>
        <w:t>P</w:t>
      </w:r>
      <w:r w:rsidRPr="00AE46E9">
        <w:t>rofits and gains in connection with the business of exploration, etc., of mineral oils</w:t>
      </w:r>
      <w:r w:rsidR="00AE1DF3">
        <w:t xml:space="preserve"> – Sec 44BB</w:t>
      </w:r>
    </w:p>
    <w:p w:rsidR="00AE1DF3" w:rsidRDefault="00F66418" w:rsidP="00F66418">
      <w:pPr>
        <w:pStyle w:val="ListParagraph"/>
        <w:numPr>
          <w:ilvl w:val="0"/>
          <w:numId w:val="4"/>
        </w:numPr>
      </w:pPr>
      <w:r w:rsidRPr="00F66418">
        <w:t>Notwithstanding anything to the contrary contained in sections 28 to 41 and sections 43 and 43A, in the case of an assesse</w:t>
      </w:r>
      <w:r>
        <w:t>e, being a non-resident,</w:t>
      </w:r>
      <w:r w:rsidR="00AE1DF3">
        <w:t xml:space="preserve"> is engaged in the following two activities, he can opt for the presumptive tax provisions of Section 44BB of Income Tax Act: –</w:t>
      </w:r>
    </w:p>
    <w:p w:rsidR="00AE1DF3" w:rsidRDefault="00AE1DF3" w:rsidP="00AE1DF3">
      <w:pPr>
        <w:pStyle w:val="ListParagraph"/>
      </w:pPr>
    </w:p>
    <w:p w:rsidR="00F66418" w:rsidRDefault="00AE1DF3" w:rsidP="00F66418">
      <w:pPr>
        <w:pStyle w:val="ListParagraph"/>
        <w:numPr>
          <w:ilvl w:val="0"/>
          <w:numId w:val="7"/>
        </w:numPr>
      </w:pPr>
      <w:r>
        <w:t>Providing services and facilities, in connection with prospecting for mineral oil , or extraction or production of mineral oil. ;or</w:t>
      </w:r>
    </w:p>
    <w:p w:rsidR="00AE1DF3" w:rsidRDefault="00AE1DF3" w:rsidP="00F66418">
      <w:pPr>
        <w:pStyle w:val="ListParagraph"/>
        <w:numPr>
          <w:ilvl w:val="0"/>
          <w:numId w:val="7"/>
        </w:numPr>
      </w:pPr>
      <w:r>
        <w:t>Supplying plant and machinery on hire , which is used or to be used in prospecting for mineral oil or extraction or production of mineral oil</w:t>
      </w:r>
    </w:p>
    <w:p w:rsidR="00AE1DF3" w:rsidRDefault="00AE1DF3" w:rsidP="00AE1DF3">
      <w:pPr>
        <w:pStyle w:val="ListParagraph"/>
        <w:ind w:left="1440"/>
      </w:pPr>
    </w:p>
    <w:p w:rsidR="00AE1DF3" w:rsidRDefault="00AE1DF3" w:rsidP="00AE1DF3">
      <w:pPr>
        <w:pStyle w:val="ListParagraph"/>
        <w:numPr>
          <w:ilvl w:val="0"/>
          <w:numId w:val="4"/>
        </w:numPr>
      </w:pPr>
      <w:r>
        <w:t>If the non-resident opts for the presumptive tax provisions of Section 44BB of Income Tax Act, the profits and gains for such activities shall be deemed to be 10% of the following amounts : –</w:t>
      </w:r>
    </w:p>
    <w:p w:rsidR="00AE1DF3" w:rsidRDefault="00AE1DF3" w:rsidP="00AE1DF3">
      <w:pPr>
        <w:pStyle w:val="ListParagraph"/>
        <w:ind w:left="1440"/>
      </w:pPr>
    </w:p>
    <w:p w:rsidR="00AE1DF3" w:rsidRDefault="00AE1DF3" w:rsidP="00AE1DF3">
      <w:pPr>
        <w:pStyle w:val="ListParagraph"/>
        <w:numPr>
          <w:ilvl w:val="0"/>
          <w:numId w:val="5"/>
        </w:numPr>
      </w:pPr>
      <w:r>
        <w:t>Amounts</w:t>
      </w:r>
      <w:r w:rsidR="00315E43">
        <w:t xml:space="preserve"> paid or payable to the assessee</w:t>
      </w:r>
      <w:r>
        <w:t xml:space="preserve"> or to any person on his behalf whether in India or outside India, for services or facilities or supply of plant &amp; machinery for the aforesaid purposes in India; and</w:t>
      </w:r>
    </w:p>
    <w:p w:rsidR="00315E43" w:rsidRDefault="00315E43" w:rsidP="00315E43">
      <w:pPr>
        <w:pStyle w:val="ListParagraph"/>
        <w:ind w:left="1800"/>
      </w:pPr>
    </w:p>
    <w:p w:rsidR="00315E43" w:rsidRDefault="00AE1DF3" w:rsidP="00315E43">
      <w:pPr>
        <w:pStyle w:val="ListParagraph"/>
        <w:numPr>
          <w:ilvl w:val="0"/>
          <w:numId w:val="5"/>
        </w:numPr>
      </w:pPr>
      <w:r>
        <w:t>Amounts received or deemed to be r</w:t>
      </w:r>
      <w:r w:rsidR="00315E43">
        <w:t>eceived in India by the assessee</w:t>
      </w:r>
      <w:r>
        <w:t xml:space="preserve"> or any other person on his behalf, on account of the provision of such services or facilities or supply of plant &amp; machinery for the aforesaid purposes outside India.</w:t>
      </w:r>
    </w:p>
    <w:p w:rsidR="00315E43" w:rsidRDefault="00315E43" w:rsidP="00315E43">
      <w:pPr>
        <w:pStyle w:val="ListParagraph"/>
      </w:pPr>
    </w:p>
    <w:p w:rsidR="00AE1DF3" w:rsidRDefault="00AE1DF3" w:rsidP="00F66418">
      <w:pPr>
        <w:pStyle w:val="ListParagraph"/>
        <w:numPr>
          <w:ilvl w:val="0"/>
          <w:numId w:val="4"/>
        </w:numPr>
      </w:pPr>
      <w:r>
        <w:t>It is not mandatory, for a person who is engaged in the specif</w:t>
      </w:r>
      <w:r w:rsidR="00F66418">
        <w:t>ied business discussed above to</w:t>
      </w:r>
      <w:r>
        <w:t xml:space="preserve"> follow the provisions of Section 44BB of Income Tax Act. Such a person can opt to be governed by the normal provisions of Income Tax Act, and maintain the required </w:t>
      </w:r>
      <w:r>
        <w:lastRenderedPageBreak/>
        <w:t>books of accounts and other document</w:t>
      </w:r>
      <w:r w:rsidR="00F66418">
        <w:t>s</w:t>
      </w:r>
      <w:r w:rsidR="000E553F">
        <w:t xml:space="preserve"> as per section 44AA</w:t>
      </w:r>
      <w:r w:rsidR="00F66418">
        <w:t>, and get</w:t>
      </w:r>
      <w:r w:rsidR="00F66418" w:rsidRPr="00F66418">
        <w:t xml:space="preserve"> his accounts audited and furnishes a report of such audit</w:t>
      </w:r>
      <w:r w:rsidR="00F66418">
        <w:t xml:space="preserve"> as required under section 44AB</w:t>
      </w:r>
    </w:p>
    <w:p w:rsidR="00315E43" w:rsidRDefault="00315E43" w:rsidP="00315E43">
      <w:pPr>
        <w:pStyle w:val="ListParagraph"/>
        <w:ind w:left="1440"/>
      </w:pPr>
    </w:p>
    <w:p w:rsidR="00315E43" w:rsidRDefault="00315E43" w:rsidP="00315E43">
      <w:pPr>
        <w:pStyle w:val="ListParagraph"/>
        <w:numPr>
          <w:ilvl w:val="0"/>
          <w:numId w:val="4"/>
        </w:numPr>
      </w:pPr>
      <w:r>
        <w:t>Provisions of Section 44BB do not apply to :</w:t>
      </w:r>
    </w:p>
    <w:p w:rsidR="00315E43" w:rsidRDefault="00315E43" w:rsidP="00315E43">
      <w:pPr>
        <w:pStyle w:val="ListParagraph"/>
      </w:pPr>
    </w:p>
    <w:p w:rsidR="00315E43" w:rsidRDefault="00315E43" w:rsidP="00315E43">
      <w:pPr>
        <w:pStyle w:val="ListParagraph"/>
        <w:numPr>
          <w:ilvl w:val="0"/>
          <w:numId w:val="6"/>
        </w:numPr>
      </w:pPr>
      <w:r>
        <w:t xml:space="preserve">Section 42 - </w:t>
      </w:r>
      <w:r w:rsidRPr="00315E43">
        <w:t>Special provision for deductions in the case of business for pro</w:t>
      </w:r>
      <w:r>
        <w:t>specting, etc., for mineral oil</w:t>
      </w:r>
    </w:p>
    <w:p w:rsidR="00315E43" w:rsidRDefault="005810D7" w:rsidP="005810D7">
      <w:pPr>
        <w:pStyle w:val="ListParagraph"/>
        <w:numPr>
          <w:ilvl w:val="0"/>
          <w:numId w:val="6"/>
        </w:numPr>
      </w:pPr>
      <w:r>
        <w:t xml:space="preserve">Section 44D - </w:t>
      </w:r>
      <w:r w:rsidRPr="005810D7">
        <w:t>Special provisions for computing income by way of royalties, etc., i</w:t>
      </w:r>
      <w:r>
        <w:t>n the case of foreign companies</w:t>
      </w:r>
    </w:p>
    <w:p w:rsidR="005810D7" w:rsidRDefault="005810D7" w:rsidP="00BA4048">
      <w:pPr>
        <w:pStyle w:val="ListParagraph"/>
        <w:numPr>
          <w:ilvl w:val="0"/>
          <w:numId w:val="6"/>
        </w:numPr>
      </w:pPr>
      <w:r>
        <w:t xml:space="preserve">Section 44DA - </w:t>
      </w:r>
      <w:r w:rsidR="00BA4048" w:rsidRPr="00BA4048">
        <w:t>Special provision for computing income by way of royalties,</w:t>
      </w:r>
      <w:r w:rsidR="00BA4048">
        <w:t xml:space="preserve"> etc., in case of non-residents</w:t>
      </w:r>
    </w:p>
    <w:p w:rsidR="00BA4048" w:rsidRDefault="00F66418" w:rsidP="00F66418">
      <w:pPr>
        <w:pStyle w:val="ListParagraph"/>
        <w:numPr>
          <w:ilvl w:val="0"/>
          <w:numId w:val="6"/>
        </w:numPr>
      </w:pPr>
      <w:r>
        <w:t xml:space="preserve">Section 115A - </w:t>
      </w:r>
      <w:r w:rsidRPr="00F66418">
        <w:t>Tax on dividends, royalty and technical service fees in the case of foreign companies</w:t>
      </w:r>
    </w:p>
    <w:p w:rsidR="00F66418" w:rsidRDefault="00F66418" w:rsidP="00F66418">
      <w:pPr>
        <w:pStyle w:val="ListParagraph"/>
        <w:numPr>
          <w:ilvl w:val="0"/>
          <w:numId w:val="6"/>
        </w:numPr>
      </w:pPr>
      <w:r>
        <w:t xml:space="preserve">Section 293A - </w:t>
      </w:r>
      <w:r w:rsidRPr="00F66418">
        <w:t>Power to make exemption, etc., in relation to participation in the business of prospecting for, extraction, etc., of mineral oil</w:t>
      </w:r>
    </w:p>
    <w:p w:rsidR="00315E43" w:rsidRDefault="00315E43" w:rsidP="00315E43">
      <w:pPr>
        <w:pStyle w:val="ListParagraph"/>
      </w:pPr>
    </w:p>
    <w:p w:rsidR="00F66418" w:rsidRDefault="00F66418" w:rsidP="00F66418">
      <w:pPr>
        <w:pStyle w:val="ListParagraph"/>
        <w:ind w:left="1440"/>
      </w:pPr>
    </w:p>
    <w:p w:rsidR="00F66418" w:rsidRDefault="00F66418" w:rsidP="00F66418">
      <w:pPr>
        <w:pStyle w:val="ListParagraph"/>
        <w:numPr>
          <w:ilvl w:val="0"/>
          <w:numId w:val="4"/>
        </w:numPr>
      </w:pPr>
      <w:r>
        <w:t>Fees for technical services earned by non-resident shall be taxable only under the provisions of section 44DA or section 115A, irrespective of the business to which it relates. Section 44BB would apply only for consideration for services and other facilities relating to exploration activity, which are not in the nature of technical services.</w:t>
      </w:r>
    </w:p>
    <w:p w:rsidR="00F66418" w:rsidRDefault="00F66418" w:rsidP="00F66418">
      <w:pPr>
        <w:pStyle w:val="ListParagraph"/>
        <w:ind w:left="1440"/>
      </w:pPr>
    </w:p>
    <w:p w:rsidR="00F66418" w:rsidRDefault="00F66418" w:rsidP="00F66418">
      <w:pPr>
        <w:pStyle w:val="ListParagraph"/>
        <w:numPr>
          <w:ilvl w:val="0"/>
          <w:numId w:val="4"/>
        </w:numPr>
      </w:pPr>
      <w:r>
        <w:t>Meaning of certain terms for the purposes of this section,—</w:t>
      </w:r>
    </w:p>
    <w:p w:rsidR="00F66418" w:rsidRDefault="00F66418" w:rsidP="00F66418">
      <w:pPr>
        <w:pStyle w:val="ListParagraph"/>
        <w:ind w:left="1440"/>
      </w:pPr>
    </w:p>
    <w:p w:rsidR="00F66418" w:rsidRDefault="00F66418" w:rsidP="00F66418">
      <w:pPr>
        <w:pStyle w:val="ListParagraph"/>
        <w:numPr>
          <w:ilvl w:val="0"/>
          <w:numId w:val="8"/>
        </w:numPr>
      </w:pPr>
      <w:r>
        <w:t>"plant" includes ships, aircraft, vehicles, drilling units, scientific apparatus and equipment, used for the purposes of the said business;</w:t>
      </w:r>
    </w:p>
    <w:p w:rsidR="00F66418" w:rsidRDefault="00F66418" w:rsidP="00F66418">
      <w:pPr>
        <w:pStyle w:val="ListParagraph"/>
        <w:numPr>
          <w:ilvl w:val="0"/>
          <w:numId w:val="8"/>
        </w:numPr>
      </w:pPr>
      <w:r>
        <w:t>"mineral oil" includes petroleum and natural gas.</w:t>
      </w:r>
    </w:p>
    <w:p w:rsidR="00FA601B" w:rsidRDefault="00FA601B" w:rsidP="00FA601B">
      <w:pPr>
        <w:pStyle w:val="ListParagraph"/>
        <w:ind w:left="2160"/>
      </w:pPr>
    </w:p>
    <w:p w:rsidR="0065073A" w:rsidRDefault="000E6DE0" w:rsidP="0065073A">
      <w:pPr>
        <w:pStyle w:val="ListParagraph"/>
        <w:numPr>
          <w:ilvl w:val="0"/>
          <w:numId w:val="2"/>
        </w:numPr>
        <w:ind w:left="720"/>
      </w:pPr>
      <w:r>
        <w:t xml:space="preserve">Jurisprudence </w:t>
      </w:r>
    </w:p>
    <w:p w:rsidR="00E1477C" w:rsidRDefault="00E1477C" w:rsidP="00C072F7">
      <w:pPr>
        <w:pStyle w:val="ListParagraph"/>
        <w:numPr>
          <w:ilvl w:val="0"/>
          <w:numId w:val="12"/>
        </w:numPr>
      </w:pPr>
      <w:r w:rsidRPr="00E1477C">
        <w:t xml:space="preserve">section 44BB </w:t>
      </w:r>
      <w:r w:rsidR="00C072F7" w:rsidRPr="00C072F7">
        <w:t>does not create any discrimination between the person who actually does the activity of prospecting for or extraction or production, and the person who renders services in connec</w:t>
      </w:r>
      <w:r w:rsidR="00CD4010">
        <w:t>tion therewith.</w:t>
      </w:r>
      <w:r w:rsidR="00CD4010" w:rsidRPr="00CD4010">
        <w:t xml:space="preserve"> </w:t>
      </w:r>
      <w:r w:rsidR="00CD4010">
        <w:t xml:space="preserve">It </w:t>
      </w:r>
      <w:r w:rsidR="00CD4010" w:rsidRPr="00E1477C">
        <w:t>does not distin</w:t>
      </w:r>
      <w:r w:rsidR="00D75D5F">
        <w:t>guish between main contractor and</w:t>
      </w:r>
      <w:r w:rsidR="00CD4010" w:rsidRPr="00E1477C">
        <w:t xml:space="preserve"> a sub-contractor</w:t>
      </w:r>
      <w:r w:rsidR="00CD4010">
        <w:t>. Both can be taxed under the provisions of Section 44BB as far as they fulfil the conditions mentioned therein</w:t>
      </w:r>
      <w:r>
        <w:t>– ITAT in DCIT vs Technip UK Ltd</w:t>
      </w:r>
      <w:r w:rsidR="00C072F7">
        <w:t xml:space="preserve"> [2019]</w:t>
      </w:r>
    </w:p>
    <w:p w:rsidR="00C072F7" w:rsidRDefault="00C072F7" w:rsidP="00C072F7">
      <w:pPr>
        <w:pStyle w:val="ListParagraph"/>
        <w:ind w:left="1440"/>
      </w:pPr>
    </w:p>
    <w:p w:rsidR="00E1477C" w:rsidRDefault="00E1477C" w:rsidP="00E1477C">
      <w:pPr>
        <w:pStyle w:val="ListParagraph"/>
        <w:numPr>
          <w:ilvl w:val="0"/>
          <w:numId w:val="12"/>
        </w:numPr>
      </w:pPr>
      <w:r w:rsidRPr="00E1477C">
        <w:t>Service tax collected by assessee and passed on to Government does not have any element of income and therefore cannot form part of gross receipts for purposes of computing 'presumptive income' of assessee under section 44 BB</w:t>
      </w:r>
      <w:r>
        <w:t xml:space="preserve"> – High court of Delhi in DIT vs </w:t>
      </w:r>
      <w:r w:rsidRPr="00E1477C">
        <w:t>Mitchell Drilling International (P.) Ltd</w:t>
      </w:r>
      <w:r w:rsidR="00C072F7">
        <w:t xml:space="preserve"> [2015]</w:t>
      </w:r>
    </w:p>
    <w:p w:rsidR="00EF693A" w:rsidRDefault="00EF693A" w:rsidP="00EF693A">
      <w:pPr>
        <w:pStyle w:val="ListParagraph"/>
        <w:ind w:left="1440"/>
      </w:pPr>
    </w:p>
    <w:p w:rsidR="00E1477C" w:rsidRDefault="00E1477C" w:rsidP="00EF693A">
      <w:pPr>
        <w:pStyle w:val="ListParagraph"/>
        <w:numPr>
          <w:ilvl w:val="0"/>
          <w:numId w:val="12"/>
        </w:numPr>
      </w:pPr>
      <w:r w:rsidRPr="00E1477C">
        <w:t>Where assessee is imparting services which could be a simple royalty or FTS then the same would be taxed under section 9(1</w:t>
      </w:r>
      <w:r w:rsidR="00D75D5F" w:rsidRPr="00E1477C">
        <w:t>) (</w:t>
      </w:r>
      <w:r w:rsidRPr="00E1477C">
        <w:t>vi)</w:t>
      </w:r>
      <w:r w:rsidR="00D75D5F" w:rsidRPr="00E1477C">
        <w:t>/ (</w:t>
      </w:r>
      <w:r w:rsidRPr="00E1477C">
        <w:t xml:space="preserve">vii) read with section 115A, but where assessee is imparting any services in relation to exploration of mineral oil then the royalties/FTS would be taxable under section 44BB; as section 44BB being specific </w:t>
      </w:r>
      <w:r w:rsidRPr="00E1477C">
        <w:lastRenderedPageBreak/>
        <w:t>provision in relation to specific services, it would prevail over the other provisions dealing with royalties/FTS.</w:t>
      </w:r>
      <w:r w:rsidR="00EF693A" w:rsidRPr="00EF693A">
        <w:t xml:space="preserve"> Sections 9, 44BB, 44DA and 115A relating to royalty/FTS operate in different fields</w:t>
      </w:r>
      <w:r w:rsidR="00EF693A">
        <w:t>.</w:t>
      </w:r>
    </w:p>
    <w:p w:rsidR="00EF693A" w:rsidRPr="000E6DE0" w:rsidRDefault="00EF693A" w:rsidP="00EF693A">
      <w:pPr>
        <w:pStyle w:val="ListParagraph"/>
        <w:ind w:left="1440"/>
      </w:pPr>
      <w:r w:rsidRPr="00EF693A">
        <w:t xml:space="preserve">Section 44DA applies to non-residents only, however it is broader and more general in nature and provides for assessment of income of a non-resident by way of royalty or fees for technical services where such non-resident carries on business in India through </w:t>
      </w:r>
      <w:r w:rsidRPr="000E6DE0">
        <w:t>a permanent establishment situated therein or performs services from a fixed place of profession situated in India and the right, property or contract in respect of which the royalties or fees for technical services are paid is effectively connected with the permanent establishment or fixed place of profession.  – ITAT bench in DDIT vs RPS Energy Pty Ltd</w:t>
      </w:r>
      <w:r w:rsidR="00C072F7" w:rsidRPr="000E6DE0">
        <w:t xml:space="preserve"> [2018]</w:t>
      </w:r>
    </w:p>
    <w:p w:rsidR="00EF693A" w:rsidRPr="000E6DE0" w:rsidRDefault="00EF693A" w:rsidP="00EF693A">
      <w:pPr>
        <w:pStyle w:val="ListParagraph"/>
        <w:ind w:left="1440"/>
      </w:pPr>
    </w:p>
    <w:p w:rsidR="00EF693A" w:rsidRPr="000E6DE0" w:rsidRDefault="00EF693A" w:rsidP="00EF693A">
      <w:pPr>
        <w:pStyle w:val="ListParagraph"/>
        <w:numPr>
          <w:ilvl w:val="0"/>
          <w:numId w:val="12"/>
        </w:numPr>
      </w:pPr>
      <w:r w:rsidRPr="000E6DE0">
        <w:t xml:space="preserve">High Court by impugned order held that section 44BB is a complete code in itself and amount received by way of reimbursement of actual expenses, was not, in any way, excluded from ambit of section 44BB </w:t>
      </w:r>
    </w:p>
    <w:p w:rsidR="00CD4010" w:rsidRDefault="00CD4010" w:rsidP="00CD4010">
      <w:pPr>
        <w:pStyle w:val="ListParagraph"/>
        <w:numPr>
          <w:ilvl w:val="0"/>
          <w:numId w:val="12"/>
        </w:numPr>
      </w:pPr>
      <w:r w:rsidRPr="00CD4010">
        <w:t xml:space="preserve">The Hon’ble Calcutta High Court in the case of Schlumberger Sea Co.Inc.(157 CTR 538) has held that once a non-resident supplier of machinery comes within the purview of section 44BB,then it cannot come again under the purview of the other parts of the </w:t>
      </w:r>
      <w:r w:rsidR="00D75D5F" w:rsidRPr="00CD4010">
        <w:t>Act, dealing</w:t>
      </w:r>
      <w:r w:rsidRPr="00CD4010">
        <w:t xml:space="preserve"> with profits and gains of business or profession.</w:t>
      </w:r>
    </w:p>
    <w:p w:rsidR="00C40AAF" w:rsidRDefault="00C40AAF" w:rsidP="007F2226">
      <w:pPr>
        <w:pStyle w:val="ListParagraph"/>
        <w:ind w:left="1440"/>
      </w:pPr>
    </w:p>
    <w:p w:rsidR="00E1477C" w:rsidRDefault="00E1477C" w:rsidP="00E1477C">
      <w:pPr>
        <w:pStyle w:val="ListParagraph"/>
        <w:ind w:left="1440"/>
      </w:pPr>
    </w:p>
    <w:p w:rsidR="0065073A" w:rsidRDefault="0065073A" w:rsidP="0065073A">
      <w:pPr>
        <w:pStyle w:val="ListParagraph"/>
        <w:numPr>
          <w:ilvl w:val="0"/>
          <w:numId w:val="2"/>
        </w:numPr>
        <w:ind w:left="720"/>
      </w:pPr>
      <w:r w:rsidRPr="0065073A">
        <w:t>Special provision for computing profits and gains of foreign companies engaged in the business of civil construction, etc., in certain turnkey power projects</w:t>
      </w:r>
      <w:r>
        <w:t xml:space="preserve"> – Section 44BBB</w:t>
      </w:r>
    </w:p>
    <w:p w:rsidR="0065073A" w:rsidRDefault="0065073A" w:rsidP="0065073A">
      <w:pPr>
        <w:pStyle w:val="ListParagraph"/>
        <w:numPr>
          <w:ilvl w:val="0"/>
          <w:numId w:val="9"/>
        </w:numPr>
      </w:pPr>
      <w:r w:rsidRPr="0065073A">
        <w:t>Notwithstanding anything to the contrary contained in sections 28 to 44AA, in the case of an assessee, being a foreign company, engaged in the</w:t>
      </w:r>
      <w:r>
        <w:t xml:space="preserve"> following activities </w:t>
      </w:r>
      <w:r w:rsidRPr="0065073A">
        <w:t>approved by the Central Government in this behalf</w:t>
      </w:r>
    </w:p>
    <w:p w:rsidR="0065073A" w:rsidRDefault="0065073A" w:rsidP="0065073A">
      <w:pPr>
        <w:pStyle w:val="ListParagraph"/>
        <w:numPr>
          <w:ilvl w:val="0"/>
          <w:numId w:val="11"/>
        </w:numPr>
        <w:ind w:left="2160"/>
      </w:pPr>
      <w:r w:rsidRPr="0065073A">
        <w:t>business of civil construction</w:t>
      </w:r>
      <w:r>
        <w:t xml:space="preserve"> </w:t>
      </w:r>
      <w:r w:rsidRPr="0065073A">
        <w:t xml:space="preserve">in connection with a turnkey power project, or </w:t>
      </w:r>
    </w:p>
    <w:p w:rsidR="0065073A" w:rsidRDefault="0065073A" w:rsidP="0065073A">
      <w:pPr>
        <w:pStyle w:val="ListParagraph"/>
        <w:numPr>
          <w:ilvl w:val="0"/>
          <w:numId w:val="10"/>
        </w:numPr>
      </w:pPr>
      <w:r w:rsidRPr="0065073A">
        <w:t>the business of erection of plant</w:t>
      </w:r>
      <w:r>
        <w:t xml:space="preserve"> </w:t>
      </w:r>
      <w:r w:rsidRPr="0065073A">
        <w:t>in connection with a turnkey power project</w:t>
      </w:r>
      <w:r>
        <w:t xml:space="preserve"> </w:t>
      </w:r>
      <w:r w:rsidRPr="0065073A">
        <w:t xml:space="preserve"> or </w:t>
      </w:r>
    </w:p>
    <w:p w:rsidR="0065073A" w:rsidRDefault="0065073A" w:rsidP="0065073A">
      <w:pPr>
        <w:pStyle w:val="ListParagraph"/>
        <w:numPr>
          <w:ilvl w:val="0"/>
          <w:numId w:val="10"/>
        </w:numPr>
      </w:pPr>
      <w:r w:rsidRPr="0065073A">
        <w:t xml:space="preserve">Testing or commissioning of such plant and machinery in connection with the turnkey project </w:t>
      </w:r>
    </w:p>
    <w:p w:rsidR="0065073A" w:rsidRDefault="0065073A" w:rsidP="0065073A">
      <w:pPr>
        <w:pStyle w:val="ListParagraph"/>
        <w:ind w:left="2160"/>
      </w:pPr>
    </w:p>
    <w:p w:rsidR="000E553F" w:rsidRDefault="000E553F" w:rsidP="000E553F">
      <w:pPr>
        <w:pStyle w:val="ListParagraph"/>
        <w:numPr>
          <w:ilvl w:val="0"/>
          <w:numId w:val="9"/>
        </w:numPr>
      </w:pPr>
      <w:r>
        <w:t>a sum equal to 10</w:t>
      </w:r>
      <w:r w:rsidRPr="000E553F">
        <w:t xml:space="preserve"> </w:t>
      </w:r>
      <w:r>
        <w:t>%</w:t>
      </w:r>
      <w:r w:rsidRPr="000E553F">
        <w:t xml:space="preserve"> of the amount paid or payable (whether in or out of India) to the said assessee or to any person on his behalf on account of such civil construction, erection, testing or commissioning shall be deemed to be the profits and gains of such business chargeable to tax under the head "Profits and </w:t>
      </w:r>
      <w:r>
        <w:t>gains of business or profession</w:t>
      </w:r>
    </w:p>
    <w:p w:rsidR="000E553F" w:rsidRDefault="000E553F" w:rsidP="000E553F">
      <w:pPr>
        <w:pStyle w:val="ListParagraph"/>
        <w:ind w:left="1440"/>
      </w:pPr>
    </w:p>
    <w:p w:rsidR="000E553F" w:rsidRPr="000E553F" w:rsidRDefault="000E553F" w:rsidP="000E553F">
      <w:pPr>
        <w:pStyle w:val="ListParagraph"/>
        <w:numPr>
          <w:ilvl w:val="0"/>
          <w:numId w:val="9"/>
        </w:numPr>
      </w:pPr>
      <w:r w:rsidRPr="000E553F">
        <w:t>It is not mandatory, for a person who is engaged in the specified business discussed above to follow the provisions of Section 44BB</w:t>
      </w:r>
      <w:r>
        <w:t>B</w:t>
      </w:r>
      <w:r w:rsidRPr="000E553F">
        <w:t xml:space="preserve"> of Income Tax Act. Such a person can opt to be governed by the normal provisions of Income Tax Act, and maintain the required books of accounts and other documents as per section 44AA, and get his accounts audited and furnishes a report of such audit as required under section 44AB</w:t>
      </w:r>
    </w:p>
    <w:p w:rsidR="000E553F" w:rsidRDefault="000E553F" w:rsidP="00876E8E">
      <w:pPr>
        <w:pStyle w:val="ListParagraph"/>
        <w:ind w:left="1440"/>
      </w:pPr>
    </w:p>
    <w:p w:rsidR="00876E8E" w:rsidRDefault="00876E8E" w:rsidP="007F2226">
      <w:pPr>
        <w:pStyle w:val="ListParagraph"/>
      </w:pPr>
    </w:p>
    <w:p w:rsidR="00AE46E9" w:rsidRDefault="00AE46E9" w:rsidP="0083066B">
      <w:pPr>
        <w:pStyle w:val="ListParagraph"/>
      </w:pPr>
    </w:p>
    <w:p w:rsidR="00E01FC5" w:rsidRPr="007F2226" w:rsidRDefault="00741F7A" w:rsidP="00E01FC5">
      <w:pPr>
        <w:pStyle w:val="ListParagraph"/>
        <w:numPr>
          <w:ilvl w:val="0"/>
          <w:numId w:val="1"/>
        </w:numPr>
        <w:rPr>
          <w:b/>
          <w:u w:val="single"/>
        </w:rPr>
      </w:pPr>
      <w:r w:rsidRPr="007F2226">
        <w:rPr>
          <w:b/>
          <w:u w:val="single"/>
        </w:rPr>
        <w:lastRenderedPageBreak/>
        <w:t xml:space="preserve">Non Obstante Clause </w:t>
      </w:r>
    </w:p>
    <w:p w:rsidR="00896984" w:rsidRDefault="00896984" w:rsidP="00741F7A">
      <w:pPr>
        <w:pStyle w:val="ListParagraph"/>
      </w:pPr>
      <w:r>
        <w:t xml:space="preserve">Section 44BB and 44BBB both the sections begin with “Notwithstanding………” </w:t>
      </w:r>
    </w:p>
    <w:p w:rsidR="00741F7A" w:rsidRDefault="00896984" w:rsidP="00741F7A">
      <w:pPr>
        <w:pStyle w:val="ListParagraph"/>
      </w:pPr>
      <w:r>
        <w:t>“</w:t>
      </w:r>
      <w:r w:rsidR="00741F7A">
        <w:t>A clause beginning with ‘notwithstanding anything contained in this Act or in some particular</w:t>
      </w:r>
    </w:p>
    <w:p w:rsidR="00741F7A" w:rsidRDefault="00741F7A" w:rsidP="00741F7A">
      <w:pPr>
        <w:pStyle w:val="ListParagraph"/>
      </w:pPr>
      <w:r>
        <w:t>provision in the Act or in some particular Act or in any law for the time being in force’, is</w:t>
      </w:r>
    </w:p>
    <w:p w:rsidR="00741F7A" w:rsidRDefault="00741F7A" w:rsidP="00741F7A">
      <w:pPr>
        <w:pStyle w:val="ListParagraph"/>
      </w:pPr>
      <w:r>
        <w:t>sometіmes appended to a sectіon іn the begіnnіng, wіth a vіew to gіve the enactіng part of the</w:t>
      </w:r>
    </w:p>
    <w:p w:rsidR="00741F7A" w:rsidRDefault="00741F7A" w:rsidP="00B17106">
      <w:pPr>
        <w:pStyle w:val="ListParagraph"/>
      </w:pPr>
      <w:r>
        <w:t>Sectіon іn case of conflіct, an overrіdіng effect over the provіsіon or Act mentіoned іn the non obstante clause.</w:t>
      </w:r>
      <w:r w:rsidR="00B17106">
        <w:t xml:space="preserve"> </w:t>
      </w:r>
      <w:r>
        <w:t xml:space="preserve">Іt іs </w:t>
      </w:r>
      <w:r w:rsidR="00B17106">
        <w:t>equivalent</w:t>
      </w:r>
      <w:r>
        <w:t xml:space="preserve"> to sayіng that іn spіte of the provіsіon or the Act mentіoned іn the non-obstante</w:t>
      </w:r>
      <w:r w:rsidR="00B17106">
        <w:t xml:space="preserve"> </w:t>
      </w:r>
      <w:r>
        <w:t xml:space="preserve">clause, the enactment followіng іt wіll have іts full operatіon or that the </w:t>
      </w:r>
      <w:r w:rsidR="00B17106">
        <w:t>provisions</w:t>
      </w:r>
      <w:r>
        <w:t xml:space="preserve"> embraced іn</w:t>
      </w:r>
      <w:r w:rsidR="00B17106">
        <w:t xml:space="preserve"> </w:t>
      </w:r>
      <w:r>
        <w:t>the non-obstante clause wіll not be an іmpedіment for the operation of the enactment. Thus a</w:t>
      </w:r>
      <w:r w:rsidR="00B17106">
        <w:t xml:space="preserve"> </w:t>
      </w:r>
      <w:r>
        <w:t>non-obstante clause may be used as a legіslatіve devіce to modіfy the ambіt of the provіsіon or</w:t>
      </w:r>
      <w:r w:rsidR="00B17106">
        <w:t xml:space="preserve"> </w:t>
      </w:r>
      <w:r>
        <w:t>the law mentіoned іn such clause or to override it іn specified circumstances.</w:t>
      </w:r>
      <w:r w:rsidR="00B17106">
        <w:t xml:space="preserve"> - </w:t>
      </w:r>
      <w:r w:rsidR="00B17106" w:rsidRPr="00B17106">
        <w:t>The Hon’ble Supreme Court in Chandavarkar S.R. Rao v. Ashalata S. Guram</w:t>
      </w:r>
    </w:p>
    <w:p w:rsidR="00741F7A" w:rsidRDefault="00741F7A" w:rsidP="00741F7A">
      <w:pPr>
        <w:pStyle w:val="ListParagraph"/>
      </w:pPr>
    </w:p>
    <w:p w:rsidR="00741F7A" w:rsidRDefault="00741F7A" w:rsidP="00741F7A">
      <w:pPr>
        <w:pStyle w:val="ListParagraph"/>
      </w:pPr>
      <w:r>
        <w:t>The phrase ‘notwіthstandіng anythіng іn’ іs used іn contra</w:t>
      </w:r>
      <w:r w:rsidR="00805582">
        <w:t xml:space="preserve"> </w:t>
      </w:r>
      <w:r>
        <w:t>dіstіnctіon to the phrase ‘subject to’,</w:t>
      </w:r>
    </w:p>
    <w:p w:rsidR="00741F7A" w:rsidRDefault="00741F7A" w:rsidP="00741F7A">
      <w:pPr>
        <w:pStyle w:val="ListParagraph"/>
      </w:pPr>
      <w:r>
        <w:t>the latter conveyіng the іdea of a provіsіon yіeldіng place to another provіsіon or other</w:t>
      </w:r>
    </w:p>
    <w:p w:rsidR="00741F7A" w:rsidRDefault="00741F7A" w:rsidP="00741F7A">
      <w:pPr>
        <w:pStyle w:val="ListParagraph"/>
      </w:pPr>
      <w:r>
        <w:t>provіsіo</w:t>
      </w:r>
      <w:r w:rsidR="00805582">
        <w:t>ns to whіch іt іs made subject.</w:t>
      </w:r>
    </w:p>
    <w:p w:rsidR="00741F7A" w:rsidRDefault="00741F7A" w:rsidP="00741F7A">
      <w:pPr>
        <w:pStyle w:val="ListParagraph"/>
      </w:pPr>
      <w:r>
        <w:t>A non-obstante clause must also be dіstіnguіshed from the phrase ‘wіthout prejudіce’. A</w:t>
      </w:r>
    </w:p>
    <w:p w:rsidR="00741F7A" w:rsidRDefault="00741F7A" w:rsidP="00741F7A">
      <w:pPr>
        <w:pStyle w:val="ListParagraph"/>
      </w:pPr>
      <w:r>
        <w:t>provіsіon enacted ‘wіthout prejudіce’ to another provіsіon has not the effect of affectіng the operatіon of the other provіsіon and any actіon taken under іt must not be іnconsіstent wіth such other provіsіon</w:t>
      </w:r>
    </w:p>
    <w:p w:rsidR="00662A82" w:rsidRDefault="00662A82" w:rsidP="00741F7A">
      <w:pPr>
        <w:pStyle w:val="ListParagraph"/>
      </w:pPr>
    </w:p>
    <w:p w:rsidR="00225426" w:rsidRDefault="00662A82" w:rsidP="00225426">
      <w:pPr>
        <w:pStyle w:val="ListParagraph"/>
      </w:pPr>
      <w:r w:rsidRPr="00662A82">
        <w:t xml:space="preserve">The purpose of a non-obstante clause is to give the enacting part of the statute an overriding effect in the case of a conflict with the laws mentioned in the non-obstante clause. This amounts to expressing a legislative intent that in spite of enactment mentioned in the non-obstante clause, the law enacted following it will have full operation and the provisions mentioned in the non-obstante clause will not be an </w:t>
      </w:r>
      <w:r w:rsidR="00225426">
        <w:t xml:space="preserve">impediment.  - </w:t>
      </w:r>
      <w:r w:rsidRPr="00662A82">
        <w:t xml:space="preserve">Apex Court in Union of India v. G.M Kokil, reported in AIR 1984 SC 1022). </w:t>
      </w:r>
    </w:p>
    <w:p w:rsidR="00225426" w:rsidRDefault="00225426" w:rsidP="00225426">
      <w:pPr>
        <w:pStyle w:val="ListParagraph"/>
      </w:pPr>
      <w:r>
        <w:t xml:space="preserve"> A</w:t>
      </w:r>
      <w:r w:rsidR="00662A82" w:rsidRPr="00662A82">
        <w:t xml:space="preserve"> non obstante clause is usually used in a provision to indicate that that provision should prevail despite anything to the contrary in the provision mentioned in such non obstante clause. In case there is any inconsistency or a departure between the non obstante clause and another provision one of the objects of such a clause is to indicate that it is the non obstante clause which would prevail over the other clause." To the same effect are </w:t>
      </w:r>
      <w:r>
        <w:t xml:space="preserve">the observations </w:t>
      </w:r>
      <w:r w:rsidR="00662A82" w:rsidRPr="00662A82">
        <w:t xml:space="preserve">in Shree Ganesh Trading Co. v. State of Madhya Pradesh, 1972 MPLJ 864 : (AIR 1973 Madh Pra 26) (Full Bench). </w:t>
      </w:r>
    </w:p>
    <w:p w:rsidR="009844B4" w:rsidRDefault="00AD5454" w:rsidP="00225426">
      <w:pPr>
        <w:pStyle w:val="ListParagraph"/>
      </w:pPr>
      <w:r>
        <w:t xml:space="preserve">The </w:t>
      </w:r>
      <w:r w:rsidR="009844B4">
        <w:t>Honorable</w:t>
      </w:r>
      <w:r>
        <w:t xml:space="preserve"> High Court of Patna in case of Magadh Stock Exchange vs CIT [2020] stated the a</w:t>
      </w:r>
      <w:r w:rsidR="00961091" w:rsidRPr="00961091">
        <w:t>s per settled principles of interpretation, a non-obstante clause assumes an overriding character against any other provision of general application. It declares that within the sphere allotted to it by the Parliament, it shall not be controlled or overridden by any other provisio</w:t>
      </w:r>
      <w:r>
        <w:t xml:space="preserve">n unless expressly provided for </w:t>
      </w:r>
    </w:p>
    <w:p w:rsidR="00027251" w:rsidRDefault="00027251" w:rsidP="00225426">
      <w:pPr>
        <w:pStyle w:val="ListParagraph"/>
      </w:pPr>
    </w:p>
    <w:p w:rsidR="00027251" w:rsidRDefault="00027251" w:rsidP="00027251">
      <w:pPr>
        <w:pStyle w:val="ListParagraph"/>
        <w:numPr>
          <w:ilvl w:val="0"/>
          <w:numId w:val="14"/>
        </w:numPr>
        <w:ind w:left="1080" w:hanging="630"/>
      </w:pPr>
      <w:r>
        <w:t>In case of two non obstante clauses</w:t>
      </w:r>
    </w:p>
    <w:p w:rsidR="005D2488" w:rsidRDefault="005D2488" w:rsidP="00027251">
      <w:pPr>
        <w:pStyle w:val="ListParagraph"/>
        <w:ind w:left="1080"/>
      </w:pPr>
    </w:p>
    <w:p w:rsidR="005D2488" w:rsidRDefault="005D2488" w:rsidP="00D75D5F">
      <w:pPr>
        <w:pStyle w:val="ListParagraph"/>
        <w:ind w:left="1080"/>
      </w:pPr>
      <w:r>
        <w:t xml:space="preserve">Sometіmes one fіnds two or more enactments operatіng іn the same fіeld and each contaіnіng a non-obstante clause statіng that іts provіsіons wіll have effect ‘notwіthstandіng </w:t>
      </w:r>
      <w:r>
        <w:lastRenderedPageBreak/>
        <w:t>anythіng іnconsіstent therewіth contaіned іn any other law for the tіme beіng іn force’. The conflіct іn such cases іs resolved on consіderatіon of purpose and polіcy underlyіng the enactments and the language used thereіn. Another test that іs applіed іs that the later enactment normally prevaіls over the earlіer one. Іt іs also relevant to consіder as to whether a</w:t>
      </w:r>
      <w:r w:rsidR="00D75D5F">
        <w:t xml:space="preserve">ny of the two enactments can be </w:t>
      </w:r>
      <w:r>
        <w:t>descrіbed a specіal one; іn that case the specіal one may prevaіl over the more general one</w:t>
      </w:r>
      <w:r w:rsidR="00D75D5F">
        <w:t xml:space="preserve"> </w:t>
      </w:r>
      <w:r>
        <w:t>notwіthstandіng that the general one іs later іn tіme</w:t>
      </w:r>
      <w:r w:rsidR="00D75D5F">
        <w:t>.</w:t>
      </w:r>
    </w:p>
    <w:p w:rsidR="00D75D5F" w:rsidRDefault="00D75D5F" w:rsidP="00D75D5F">
      <w:pPr>
        <w:pStyle w:val="ListParagraph"/>
        <w:ind w:left="1080"/>
      </w:pPr>
    </w:p>
    <w:p w:rsidR="00027251" w:rsidRDefault="00D75D5F" w:rsidP="00027251">
      <w:pPr>
        <w:pStyle w:val="ListParagraph"/>
        <w:ind w:left="1080"/>
      </w:pPr>
      <w:r>
        <w:t xml:space="preserve">The </w:t>
      </w:r>
      <w:r w:rsidR="005D2488" w:rsidRPr="005D2488">
        <w:t>Supreme Court in Sarwan Singh v. Kasturi Lal, (AIR 1977 SC 265) in the context of the Delhi Rent Control Act and the Slum Areas (Improvement and Clearance) Act where with reference to both the enactments containing no</w:t>
      </w:r>
      <w:r>
        <w:t>n obstante</w:t>
      </w:r>
      <w:r w:rsidR="005D2488" w:rsidRPr="005D2488">
        <w:t xml:space="preserve"> clauses it was observed that "when two or more laws operate in the same filed and each contains a non obstante clause stating that its provisions will override those of any other law, stimulating and incisive problems of interpretation arise. Since statutory interpretation has no conventional protocol, case of such conflict has to be decided in reference to the object and purpose of the laws under consideration". It was also observed that "one other test may also be applied though the persuasive force of such a test is but one of the factors which combine to give a fair meaning to the language of the law. That test is that the later enactment must prevail over the earlier one".</w:t>
      </w:r>
    </w:p>
    <w:p w:rsidR="00D75D5F" w:rsidRDefault="00D75D5F" w:rsidP="00027251">
      <w:pPr>
        <w:pStyle w:val="ListParagraph"/>
        <w:ind w:left="1080"/>
      </w:pPr>
      <w:r w:rsidRPr="00D75D5F">
        <w:t>In Madras Petrochem Ltd. v. BIFR, (2016) 4 SCC 1, this Court had to deal with whether a predecessor statute to the IBC, which has been repealed by the IBC, namely, the Sick Industrial Companies (Special Provisions) Act, 1985, prevails over the SARFAESI Act to the extent of inconsistency therewith. This Court noted that in the case of two statutes which contain non-obstante clauses, the later Act will normally prevail,</w:t>
      </w:r>
    </w:p>
    <w:p w:rsidR="00027251" w:rsidRDefault="00027251" w:rsidP="00027251">
      <w:pPr>
        <w:pStyle w:val="ListParagraph"/>
        <w:ind w:left="1440"/>
      </w:pPr>
    </w:p>
    <w:p w:rsidR="009844B4" w:rsidRDefault="009844B4" w:rsidP="00741F7A">
      <w:pPr>
        <w:pStyle w:val="ListParagraph"/>
      </w:pPr>
    </w:p>
    <w:p w:rsidR="00B17106" w:rsidRPr="00B17106" w:rsidRDefault="00B17106" w:rsidP="00B17106">
      <w:pPr>
        <w:pStyle w:val="ListParagraph"/>
        <w:numPr>
          <w:ilvl w:val="0"/>
          <w:numId w:val="1"/>
        </w:numPr>
        <w:rPr>
          <w:b/>
          <w:u w:val="single"/>
        </w:rPr>
      </w:pPr>
      <w:r w:rsidRPr="00B17106">
        <w:rPr>
          <w:b/>
          <w:u w:val="single"/>
        </w:rPr>
        <w:t>Conclusion</w:t>
      </w:r>
    </w:p>
    <w:p w:rsidR="009844B4" w:rsidRDefault="00B17106" w:rsidP="00741F7A">
      <w:pPr>
        <w:pStyle w:val="ListParagraph"/>
      </w:pPr>
      <w:r>
        <w:t xml:space="preserve">Depending on the nature and </w:t>
      </w:r>
      <w:r w:rsidR="0006166B">
        <w:t>size of the business of the non-resident assesse, he/ she must take a call whether opting for presumptive taxation is more beneficial or not. Presumptive taxation scheme is usually more beneficial for those people who have small businesses and low business expenditures</w:t>
      </w:r>
      <w:r w:rsidR="00DA5304">
        <w:t xml:space="preserve"> in India and large expenses outside India. Also where provision does not permit employment of normal provisions of the law, one can consider Nond</w:t>
      </w:r>
      <w:r w:rsidR="00695654">
        <w:t>iscri</w:t>
      </w:r>
      <w:r w:rsidR="00DA5304">
        <w:t xml:space="preserve">mination Article of the Tax Treaty if beneficial to the Non Resident Tax payer. Normal TDS provisions will apply to </w:t>
      </w:r>
      <w:proofErr w:type="spellStart"/>
      <w:r w:rsidR="00DA5304">
        <w:t>the</w:t>
      </w:r>
      <w:r w:rsidR="00695654">
        <w:t>payer</w:t>
      </w:r>
      <w:proofErr w:type="spellEnd"/>
      <w:r w:rsidR="00695654">
        <w:t xml:space="preserve"> to the </w:t>
      </w:r>
      <w:r w:rsidR="00DA5304">
        <w:t xml:space="preserve"> Non Resident recipient and that will normally extinguish the Tax liability in India. In most cases Tax return will have to be filed unless exempted.</w:t>
      </w:r>
    </w:p>
    <w:p w:rsidR="009844B4" w:rsidRDefault="009844B4" w:rsidP="00B17106"/>
    <w:sectPr w:rsidR="00984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5E99"/>
    <w:multiLevelType w:val="hybridMultilevel"/>
    <w:tmpl w:val="D6F64E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1E298B"/>
    <w:multiLevelType w:val="hybridMultilevel"/>
    <w:tmpl w:val="D54EB5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4162E7"/>
    <w:multiLevelType w:val="hybridMultilevel"/>
    <w:tmpl w:val="B1440D46"/>
    <w:lvl w:ilvl="0" w:tplc="B17094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834063"/>
    <w:multiLevelType w:val="hybridMultilevel"/>
    <w:tmpl w:val="4CCEE1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EB15CB"/>
    <w:multiLevelType w:val="hybridMultilevel"/>
    <w:tmpl w:val="5E60EA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AC822CF"/>
    <w:multiLevelType w:val="hybridMultilevel"/>
    <w:tmpl w:val="428EBBF6"/>
    <w:lvl w:ilvl="0" w:tplc="3BBCE4EC">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AD27B4"/>
    <w:multiLevelType w:val="hybridMultilevel"/>
    <w:tmpl w:val="C6FC5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50003F"/>
    <w:multiLevelType w:val="hybridMultilevel"/>
    <w:tmpl w:val="3DC04C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F6D441B"/>
    <w:multiLevelType w:val="hybridMultilevel"/>
    <w:tmpl w:val="E5BACB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0FF0020"/>
    <w:multiLevelType w:val="multilevel"/>
    <w:tmpl w:val="25DE0C56"/>
    <w:lvl w:ilvl="0">
      <w:start w:val="1"/>
      <w:numFmt w:val="decimal"/>
      <w:lvlText w:val="%1."/>
      <w:lvlJc w:val="left"/>
      <w:pPr>
        <w:ind w:left="72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65C15DBF"/>
    <w:multiLevelType w:val="hybridMultilevel"/>
    <w:tmpl w:val="4BD4747A"/>
    <w:lvl w:ilvl="0" w:tplc="99362148">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A307C4C"/>
    <w:multiLevelType w:val="hybridMultilevel"/>
    <w:tmpl w:val="7BC0DF8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F863522"/>
    <w:multiLevelType w:val="hybridMultilevel"/>
    <w:tmpl w:val="0EE6D5F4"/>
    <w:lvl w:ilvl="0" w:tplc="99362148">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FFC2A56"/>
    <w:multiLevelType w:val="hybridMultilevel"/>
    <w:tmpl w:val="E06883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5"/>
  </w:num>
  <w:num w:numId="3">
    <w:abstractNumId w:val="6"/>
  </w:num>
  <w:num w:numId="4">
    <w:abstractNumId w:val="3"/>
  </w:num>
  <w:num w:numId="5">
    <w:abstractNumId w:val="2"/>
  </w:num>
  <w:num w:numId="6">
    <w:abstractNumId w:val="8"/>
  </w:num>
  <w:num w:numId="7">
    <w:abstractNumId w:val="0"/>
  </w:num>
  <w:num w:numId="8">
    <w:abstractNumId w:val="4"/>
  </w:num>
  <w:num w:numId="9">
    <w:abstractNumId w:val="1"/>
  </w:num>
  <w:num w:numId="10">
    <w:abstractNumId w:val="7"/>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BE"/>
    <w:rsid w:val="000049BE"/>
    <w:rsid w:val="00027251"/>
    <w:rsid w:val="00050B05"/>
    <w:rsid w:val="0006166B"/>
    <w:rsid w:val="000D129C"/>
    <w:rsid w:val="000E553F"/>
    <w:rsid w:val="000E6DE0"/>
    <w:rsid w:val="00225426"/>
    <w:rsid w:val="0028362A"/>
    <w:rsid w:val="00315E43"/>
    <w:rsid w:val="00402A67"/>
    <w:rsid w:val="005810D7"/>
    <w:rsid w:val="005D2488"/>
    <w:rsid w:val="005D71E7"/>
    <w:rsid w:val="0065073A"/>
    <w:rsid w:val="00662A82"/>
    <w:rsid w:val="00695654"/>
    <w:rsid w:val="00707068"/>
    <w:rsid w:val="00741F7A"/>
    <w:rsid w:val="007B5630"/>
    <w:rsid w:val="007F2226"/>
    <w:rsid w:val="00805582"/>
    <w:rsid w:val="00817068"/>
    <w:rsid w:val="0083066B"/>
    <w:rsid w:val="00850B03"/>
    <w:rsid w:val="00876E8E"/>
    <w:rsid w:val="00896984"/>
    <w:rsid w:val="00961091"/>
    <w:rsid w:val="009844B4"/>
    <w:rsid w:val="009C790C"/>
    <w:rsid w:val="00AD5454"/>
    <w:rsid w:val="00AE1DF3"/>
    <w:rsid w:val="00AE46E9"/>
    <w:rsid w:val="00B17106"/>
    <w:rsid w:val="00BA4048"/>
    <w:rsid w:val="00C072F7"/>
    <w:rsid w:val="00C40AAF"/>
    <w:rsid w:val="00C42B40"/>
    <w:rsid w:val="00CB29B2"/>
    <w:rsid w:val="00CD4010"/>
    <w:rsid w:val="00D216CA"/>
    <w:rsid w:val="00D75D5F"/>
    <w:rsid w:val="00DA5304"/>
    <w:rsid w:val="00E01FC5"/>
    <w:rsid w:val="00E1477C"/>
    <w:rsid w:val="00E71B11"/>
    <w:rsid w:val="00EF693A"/>
    <w:rsid w:val="00F66418"/>
    <w:rsid w:val="00FA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8404"/>
  <w15:chartTrackingRefBased/>
  <w15:docId w15:val="{59E46A67-8999-4806-9B84-28EFC3F5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FC5"/>
    <w:pPr>
      <w:ind w:left="720"/>
      <w:contextualSpacing/>
    </w:pPr>
  </w:style>
  <w:style w:type="character" w:styleId="Emphasis">
    <w:name w:val="Emphasis"/>
    <w:basedOn w:val="DefaultParagraphFont"/>
    <w:uiPriority w:val="20"/>
    <w:qFormat/>
    <w:rsid w:val="00961091"/>
    <w:rPr>
      <w:i/>
      <w:iCs/>
    </w:rPr>
  </w:style>
  <w:style w:type="paragraph" w:styleId="NormalWeb">
    <w:name w:val="Normal (Web)"/>
    <w:basedOn w:val="Normal"/>
    <w:uiPriority w:val="99"/>
    <w:semiHidden/>
    <w:unhideWhenUsed/>
    <w:rsid w:val="009610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1091"/>
    <w:rPr>
      <w:color w:val="0000FF"/>
      <w:u w:val="single"/>
    </w:rPr>
  </w:style>
  <w:style w:type="table" w:styleId="TableGrid">
    <w:name w:val="Table Grid"/>
    <w:basedOn w:val="TableNormal"/>
    <w:uiPriority w:val="39"/>
    <w:rsid w:val="00830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75569">
      <w:bodyDiv w:val="1"/>
      <w:marLeft w:val="0"/>
      <w:marRight w:val="0"/>
      <w:marTop w:val="0"/>
      <w:marBottom w:val="0"/>
      <w:divBdr>
        <w:top w:val="none" w:sz="0" w:space="0" w:color="auto"/>
        <w:left w:val="none" w:sz="0" w:space="0" w:color="auto"/>
        <w:bottom w:val="none" w:sz="0" w:space="0" w:color="auto"/>
        <w:right w:val="none" w:sz="0" w:space="0" w:color="auto"/>
      </w:divBdr>
      <w:divsChild>
        <w:div w:id="1289779027">
          <w:marLeft w:val="0"/>
          <w:marRight w:val="0"/>
          <w:marTop w:val="0"/>
          <w:marBottom w:val="120"/>
          <w:divBdr>
            <w:top w:val="none" w:sz="0" w:space="0" w:color="auto"/>
            <w:left w:val="none" w:sz="0" w:space="0" w:color="auto"/>
            <w:bottom w:val="none" w:sz="0" w:space="0" w:color="auto"/>
            <w:right w:val="none" w:sz="0" w:space="0" w:color="auto"/>
          </w:divBdr>
        </w:div>
        <w:div w:id="1404721515">
          <w:marLeft w:val="0"/>
          <w:marRight w:val="0"/>
          <w:marTop w:val="0"/>
          <w:marBottom w:val="120"/>
          <w:divBdr>
            <w:top w:val="none" w:sz="0" w:space="0" w:color="auto"/>
            <w:left w:val="none" w:sz="0" w:space="0" w:color="auto"/>
            <w:bottom w:val="none" w:sz="0" w:space="0" w:color="auto"/>
            <w:right w:val="none" w:sz="0" w:space="0" w:color="auto"/>
          </w:divBdr>
        </w:div>
        <w:div w:id="2081251565">
          <w:marLeft w:val="0"/>
          <w:marRight w:val="0"/>
          <w:marTop w:val="0"/>
          <w:marBottom w:val="120"/>
          <w:divBdr>
            <w:top w:val="none" w:sz="0" w:space="0" w:color="auto"/>
            <w:left w:val="none" w:sz="0" w:space="0" w:color="auto"/>
            <w:bottom w:val="none" w:sz="0" w:space="0" w:color="auto"/>
            <w:right w:val="none" w:sz="0" w:space="0" w:color="auto"/>
          </w:divBdr>
        </w:div>
        <w:div w:id="214238439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Mitali</dc:creator>
  <cp:keywords/>
  <dc:description/>
  <cp:lastModifiedBy>Paresh  Shah</cp:lastModifiedBy>
  <cp:revision>3</cp:revision>
  <dcterms:created xsi:type="dcterms:W3CDTF">2021-08-25T12:33:00Z</dcterms:created>
  <dcterms:modified xsi:type="dcterms:W3CDTF">2021-08-25T15:23:00Z</dcterms:modified>
</cp:coreProperties>
</file>